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120" w:after="0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OCORRÊNCIA DE CONTAMINANTES EM SEMENTES E GRÃOS DE SOJA ARMAZENADOS EM DIVERSAS REGIÕES BRASILEIRAS OCORRÊNCIA DE CONTAMINANTES EM SEMENTES E GRÃOS DE SOJA ARMAZENADOS EM DIVERSAS REGIÕES BRASILEIRAS OCORRÊNCIA DE CONTAMINANTES EM SEMENTES E GRÃOS</w:t>
        <w:br/>
      </w:r>
    </w:p>
    <w:p>
      <w:pPr>
        <w:pStyle w:val="Normal1"/>
        <w:jc w:val="both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/>
          <w:position w:val="0"/>
          <w:sz w:val="22"/>
          <w:sz w:val="22"/>
          <w:szCs w:val="22"/>
          <w:vertAlign w:val="baseline"/>
        </w:rPr>
        <w:t>FRANÇA-NETO, J.B.</w:t>
      </w:r>
      <w:r>
        <w:rPr>
          <w:b/>
          <w:sz w:val="22"/>
          <w:szCs w:val="22"/>
          <w:vertAlign w:val="superscript"/>
        </w:rPr>
        <w:t>1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(Estudante de IC);</w:t>
      </w:r>
      <w:r>
        <w:rPr>
          <w:b/>
          <w:sz w:val="22"/>
          <w:szCs w:val="22"/>
          <w:vertAlign w:val="superscript"/>
        </w:rPr>
        <w:t>1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LORINI, I. (Orientador);</w:t>
      </w:r>
      <w:r>
        <w:rPr>
          <w:b/>
          <w:sz w:val="22"/>
          <w:szCs w:val="22"/>
          <w:vertAlign w:val="superscript"/>
        </w:rPr>
        <w:t>1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b/>
          <w:smallCaps/>
          <w:position w:val="0"/>
          <w:sz w:val="22"/>
          <w:sz w:val="22"/>
          <w:szCs w:val="22"/>
          <w:vertAlign w:val="baseline"/>
        </w:rPr>
        <w:t>KRZYZANOWSKI</w:t>
      </w:r>
      <w:r>
        <w:rPr>
          <w:b/>
          <w:position w:val="0"/>
          <w:sz w:val="22"/>
          <w:sz w:val="22"/>
          <w:szCs w:val="22"/>
          <w:vertAlign w:val="baseline"/>
        </w:rPr>
        <w:t>, F.C.;</w:t>
      </w:r>
      <w:r>
        <w:rPr>
          <w:b/>
          <w:sz w:val="22"/>
          <w:szCs w:val="22"/>
          <w:vertAlign w:val="superscript"/>
        </w:rPr>
        <w:t>1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b/>
          <w:smallCaps/>
          <w:position w:val="0"/>
          <w:sz w:val="22"/>
          <w:sz w:val="22"/>
          <w:szCs w:val="22"/>
          <w:vertAlign w:val="baseline"/>
        </w:rPr>
        <w:t>HENNING</w:t>
      </w:r>
      <w:r>
        <w:rPr>
          <w:b/>
          <w:position w:val="0"/>
          <w:sz w:val="22"/>
          <w:sz w:val="22"/>
          <w:szCs w:val="22"/>
          <w:vertAlign w:val="baseline"/>
        </w:rPr>
        <w:t>, A.A.;</w:t>
      </w:r>
      <w:r>
        <w:rPr>
          <w:b/>
          <w:sz w:val="22"/>
          <w:szCs w:val="22"/>
          <w:vertAlign w:val="superscript"/>
        </w:rPr>
        <w:t>1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SILVA, C.A.; SILVA, C.A.</w:t>
      </w:r>
    </w:p>
    <w:p>
      <w:pPr>
        <w:pStyle w:val="Normal1"/>
        <w:jc w:val="both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position w:val="0"/>
          <w:sz w:val="20"/>
          <w:vertAlign w:val="baseline"/>
        </w:rPr>
      </w:pPr>
      <w:r>
        <w:rPr>
          <w:b/>
          <w:sz w:val="22"/>
          <w:szCs w:val="22"/>
          <w:vertAlign w:val="superscript"/>
        </w:rPr>
        <w:t>1</w:t>
      </w:r>
      <w:r>
        <w:rPr>
          <w:position w:val="0"/>
          <w:sz w:val="22"/>
          <w:sz w:val="22"/>
          <w:szCs w:val="22"/>
          <w:vertAlign w:val="baseline"/>
        </w:rPr>
        <w:t xml:space="preserve">Intituto Federal de Educação do Espírito Santo, Campus XXXXXXX, </w:t>
      </w:r>
      <w:r>
        <w:rPr>
          <w:color w:val="0000FF"/>
          <w:position w:val="0"/>
          <w:sz w:val="22"/>
          <w:sz w:val="22"/>
          <w:szCs w:val="22"/>
          <w:u w:val="single"/>
          <w:vertAlign w:val="baseline"/>
        </w:rPr>
        <w:t xml:space="preserve">nononono@ifes.edu.br </w:t>
      </w:r>
    </w:p>
    <w:p>
      <w:pPr>
        <w:pStyle w:val="Normal1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ab/>
        <w:t xml:space="preserve">Os contaminantes comprometem a qualidade das sementes e dos grãos de soja. Eles podem vir da lavoura e da armazenagem, sendo caracterizados pela presença de material inerte, insetos e seus fragmentos, fungos de campo e de armazenagem e micotoxinas. O objetivo do trabalho foi de determinar os contaminantes em sementes e grãos de soja, armazenados em diferentes regiões do país. Os levantamentos foram realizados em armazéns em seis locais, no RS (Espumoso), PR (Palotina, Londrina e Mandaguari), SP (Orlândia) e MT (Alto Garças). Foram realizadas cinco amostragens em nov/2008, junho e nov/2009, junho e nov/2010. Em cada amostragem, foram coletadas quatro amostras de 1,0 kg de grãos e quatro amostras de 1,0 kg de sementes. Foram realizadas as análises de patologia de sementes, infestação por insetos e quantificação de micotoxinas. Foram detectadas as seguintes espécies de insetos: </w:t>
      </w:r>
      <w:r>
        <w:rPr>
          <w:i/>
          <w:position w:val="0"/>
          <w:sz w:val="22"/>
          <w:sz w:val="22"/>
          <w:szCs w:val="22"/>
          <w:vertAlign w:val="baseline"/>
        </w:rPr>
        <w:t>Ephestia</w:t>
      </w:r>
      <w:r>
        <w:rPr>
          <w:position w:val="0"/>
          <w:sz w:val="22"/>
          <w:sz w:val="22"/>
          <w:szCs w:val="22"/>
          <w:vertAlign w:val="baseline"/>
        </w:rPr>
        <w:t xml:space="preserve"> spp., </w:t>
      </w:r>
      <w:r>
        <w:rPr>
          <w:i/>
          <w:position w:val="0"/>
          <w:sz w:val="22"/>
          <w:sz w:val="22"/>
          <w:szCs w:val="22"/>
          <w:vertAlign w:val="baseline"/>
        </w:rPr>
        <w:t>Sitophilus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oryzae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Cryptolestes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ferrugineus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Rhyzopertha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dominica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Tribolium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castaneum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Liposcelis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bostrychophila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Oryzaephilus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surinamensis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Lasioderma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serricorne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Ahasverus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 xml:space="preserve">advena </w:t>
      </w:r>
      <w:r>
        <w:rPr>
          <w:position w:val="0"/>
          <w:sz w:val="22"/>
          <w:sz w:val="22"/>
          <w:szCs w:val="22"/>
          <w:vertAlign w:val="baseline"/>
        </w:rPr>
        <w:t xml:space="preserve">e </w:t>
      </w:r>
      <w:r>
        <w:rPr>
          <w:i/>
          <w:position w:val="0"/>
          <w:sz w:val="22"/>
          <w:sz w:val="22"/>
          <w:szCs w:val="22"/>
          <w:vertAlign w:val="baseline"/>
        </w:rPr>
        <w:t>Laphocateres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pusillus</w:t>
      </w:r>
      <w:r>
        <w:rPr>
          <w:position w:val="0"/>
          <w:sz w:val="22"/>
          <w:sz w:val="22"/>
          <w:szCs w:val="22"/>
          <w:vertAlign w:val="baseline"/>
        </w:rPr>
        <w:t xml:space="preserve">, esta última, relatada pela primeira vez no Brasil. A maior incidência de infestação ocorreu com </w:t>
      </w:r>
      <w:r>
        <w:rPr>
          <w:i/>
          <w:position w:val="0"/>
          <w:sz w:val="22"/>
          <w:sz w:val="22"/>
          <w:szCs w:val="22"/>
          <w:vertAlign w:val="baseline"/>
        </w:rPr>
        <w:t>S</w:t>
      </w:r>
      <w:r>
        <w:rPr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i/>
          <w:position w:val="0"/>
          <w:sz w:val="22"/>
          <w:sz w:val="22"/>
          <w:szCs w:val="22"/>
          <w:vertAlign w:val="baseline"/>
        </w:rPr>
        <w:t>oryzae</w:t>
      </w:r>
      <w:r>
        <w:rPr>
          <w:position w:val="0"/>
          <w:sz w:val="22"/>
          <w:sz w:val="22"/>
          <w:szCs w:val="22"/>
          <w:vertAlign w:val="baseline"/>
        </w:rPr>
        <w:t xml:space="preserve">, seguido de </w:t>
      </w:r>
      <w:r>
        <w:rPr>
          <w:i/>
          <w:position w:val="0"/>
          <w:sz w:val="22"/>
          <w:sz w:val="22"/>
          <w:szCs w:val="22"/>
          <w:vertAlign w:val="baseline"/>
        </w:rPr>
        <w:t>Ephestia</w:t>
      </w:r>
      <w:r>
        <w:rPr>
          <w:position w:val="0"/>
          <w:sz w:val="22"/>
          <w:sz w:val="22"/>
          <w:szCs w:val="22"/>
          <w:vertAlign w:val="baseline"/>
        </w:rPr>
        <w:t xml:space="preserve"> spp. e </w:t>
      </w:r>
      <w:r>
        <w:rPr>
          <w:i/>
          <w:position w:val="0"/>
          <w:sz w:val="22"/>
          <w:sz w:val="22"/>
          <w:szCs w:val="22"/>
          <w:vertAlign w:val="baseline"/>
        </w:rPr>
        <w:t>R</w:t>
      </w:r>
      <w:r>
        <w:rPr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i/>
          <w:position w:val="0"/>
          <w:sz w:val="22"/>
          <w:sz w:val="22"/>
          <w:szCs w:val="22"/>
          <w:vertAlign w:val="baseline"/>
        </w:rPr>
        <w:t>dominica</w:t>
      </w:r>
      <w:r>
        <w:rPr>
          <w:position w:val="0"/>
          <w:sz w:val="22"/>
          <w:sz w:val="22"/>
          <w:szCs w:val="22"/>
          <w:vertAlign w:val="baseline"/>
        </w:rPr>
        <w:t xml:space="preserve">, destacando-se a ocorrência de </w:t>
      </w:r>
      <w:r>
        <w:rPr>
          <w:i/>
          <w:position w:val="0"/>
          <w:sz w:val="22"/>
          <w:sz w:val="22"/>
          <w:szCs w:val="22"/>
          <w:vertAlign w:val="baseline"/>
        </w:rPr>
        <w:t>L</w:t>
      </w:r>
      <w:r>
        <w:rPr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i/>
          <w:position w:val="0"/>
          <w:sz w:val="22"/>
          <w:sz w:val="22"/>
          <w:szCs w:val="22"/>
          <w:vertAlign w:val="baseline"/>
        </w:rPr>
        <w:t>serricorne</w:t>
      </w:r>
      <w:r>
        <w:rPr>
          <w:position w:val="0"/>
          <w:sz w:val="22"/>
          <w:sz w:val="22"/>
          <w:szCs w:val="22"/>
          <w:vertAlign w:val="baseline"/>
        </w:rPr>
        <w:t xml:space="preserve">, que passou a ser uma praga importante no armazenamento de soja no Brasil. Dentre as micotoxinas, foi detectada apenas a presença de Aflatoxina B1, em amostras de grãos provenientes de duas regiões do PR. A ocorrência dessa micotoxina é justificada pelos elevados índices de grãos infectados por </w:t>
      </w:r>
      <w:r>
        <w:rPr>
          <w:i/>
          <w:position w:val="0"/>
          <w:sz w:val="22"/>
          <w:sz w:val="22"/>
          <w:szCs w:val="22"/>
          <w:vertAlign w:val="baseline"/>
        </w:rPr>
        <w:t>Aspergillus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flavus</w:t>
      </w:r>
      <w:r>
        <w:rPr>
          <w:position w:val="0"/>
          <w:sz w:val="22"/>
          <w:sz w:val="22"/>
          <w:szCs w:val="22"/>
          <w:vertAlign w:val="baseline"/>
        </w:rPr>
        <w:t xml:space="preserve">. Outros fungos como </w:t>
      </w:r>
      <w:r>
        <w:rPr>
          <w:i/>
          <w:position w:val="0"/>
          <w:sz w:val="22"/>
          <w:sz w:val="22"/>
          <w:szCs w:val="22"/>
          <w:vertAlign w:val="baseline"/>
        </w:rPr>
        <w:t>Fusarium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semitectum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Phomopsis</w:t>
      </w:r>
      <w:r>
        <w:rPr>
          <w:position w:val="0"/>
          <w:sz w:val="22"/>
          <w:sz w:val="22"/>
          <w:szCs w:val="22"/>
          <w:vertAlign w:val="baseline"/>
        </w:rPr>
        <w:t xml:space="preserve"> sp., </w:t>
      </w:r>
      <w:r>
        <w:rPr>
          <w:i/>
          <w:position w:val="0"/>
          <w:sz w:val="22"/>
          <w:sz w:val="22"/>
          <w:szCs w:val="22"/>
          <w:vertAlign w:val="baseline"/>
        </w:rPr>
        <w:t>Cercospora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kikuchii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Macrophomina</w:t>
      </w:r>
      <w:r>
        <w:rPr>
          <w:position w:val="0"/>
          <w:sz w:val="22"/>
          <w:sz w:val="22"/>
          <w:szCs w:val="22"/>
          <w:vertAlign w:val="baseline"/>
        </w:rPr>
        <w:t xml:space="preserve"> sp. foram detectados, porém com menor intensidade. Vale destacar que a ocorrência de insetos, fungos e micotoxinas foi sempre mais elevada nas amostras de grãos em relação às de sementes. Os contaminantes comprometem a qualidade das sementes e dos grãos de soja. Eles podem vir da lavoura e da armazenagem, sendo caracterizados pela presença de material inerte, insetos e seus fragmentos, fungos de campo e de armazenagem e micotoxinas. O objetivo do trabalho foi de determinar os contaminantes em sementes e grãos de soja, armazenados em diferentes regiões do país. Os levantamentos foram realizados em armazéns em seis locais, no RS (Espumoso), PR (Palotina, Londrina e Mandaguari), SP (Orlândia) e MT (Alto Garças). Foram realizadas cinco amostragens em nov/2008, junho e nov/2009, junho e nov/2010. Em cada amostragem, foram coletadas quatro amostras de 1,0 kg de grãos e quatro amostras de 1,0 kg de sementes. Foram realizadas as análises de patologia de sementes, infestação por insetos e quantificação de micotoxinas. Foram detectadas as seguintes espécies de insetos: </w:t>
      </w:r>
      <w:r>
        <w:rPr>
          <w:i/>
          <w:position w:val="0"/>
          <w:sz w:val="22"/>
          <w:sz w:val="22"/>
          <w:szCs w:val="22"/>
          <w:vertAlign w:val="baseline"/>
        </w:rPr>
        <w:t>Ephestia</w:t>
      </w:r>
      <w:r>
        <w:rPr>
          <w:position w:val="0"/>
          <w:sz w:val="22"/>
          <w:sz w:val="22"/>
          <w:szCs w:val="22"/>
          <w:vertAlign w:val="baseline"/>
        </w:rPr>
        <w:t xml:space="preserve"> spp., </w:t>
      </w:r>
      <w:r>
        <w:rPr>
          <w:i/>
          <w:position w:val="0"/>
          <w:sz w:val="22"/>
          <w:sz w:val="22"/>
          <w:szCs w:val="22"/>
          <w:vertAlign w:val="baseline"/>
        </w:rPr>
        <w:t>Sitophilus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oryzae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Cryptolestes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ferrugineus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Rhyzopertha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dominica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Tribolium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castaneum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Liposcelis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bostrychophila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Oryzaephilus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surinamensis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Lasioderma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serricorne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Ahasverus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 xml:space="preserve">advena </w:t>
      </w:r>
      <w:r>
        <w:rPr>
          <w:position w:val="0"/>
          <w:sz w:val="22"/>
          <w:sz w:val="22"/>
          <w:szCs w:val="22"/>
          <w:vertAlign w:val="baseline"/>
        </w:rPr>
        <w:t xml:space="preserve">e </w:t>
      </w:r>
      <w:r>
        <w:rPr>
          <w:i/>
          <w:position w:val="0"/>
          <w:sz w:val="22"/>
          <w:sz w:val="22"/>
          <w:szCs w:val="22"/>
          <w:vertAlign w:val="baseline"/>
        </w:rPr>
        <w:t>Laphocateres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pusillus</w:t>
      </w:r>
      <w:r>
        <w:rPr>
          <w:position w:val="0"/>
          <w:sz w:val="22"/>
          <w:sz w:val="22"/>
          <w:szCs w:val="22"/>
          <w:vertAlign w:val="baseline"/>
        </w:rPr>
        <w:t xml:space="preserve">, esta última, relatada pela primeira vez no Brasil. A maior incidência de infestação ocorreu com </w:t>
      </w:r>
      <w:r>
        <w:rPr>
          <w:i/>
          <w:position w:val="0"/>
          <w:sz w:val="22"/>
          <w:sz w:val="22"/>
          <w:szCs w:val="22"/>
          <w:vertAlign w:val="baseline"/>
        </w:rPr>
        <w:t>S</w:t>
      </w:r>
      <w:r>
        <w:rPr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i/>
          <w:position w:val="0"/>
          <w:sz w:val="22"/>
          <w:sz w:val="22"/>
          <w:szCs w:val="22"/>
          <w:vertAlign w:val="baseline"/>
        </w:rPr>
        <w:t>oryzae</w:t>
      </w:r>
      <w:r>
        <w:rPr>
          <w:position w:val="0"/>
          <w:sz w:val="22"/>
          <w:sz w:val="22"/>
          <w:szCs w:val="22"/>
          <w:vertAlign w:val="baseline"/>
        </w:rPr>
        <w:t xml:space="preserve">, seguido de </w:t>
      </w:r>
      <w:r>
        <w:rPr>
          <w:i/>
          <w:position w:val="0"/>
          <w:sz w:val="22"/>
          <w:sz w:val="22"/>
          <w:szCs w:val="22"/>
          <w:vertAlign w:val="baseline"/>
        </w:rPr>
        <w:t>Ephestia</w:t>
      </w:r>
      <w:r>
        <w:rPr>
          <w:position w:val="0"/>
          <w:sz w:val="22"/>
          <w:sz w:val="22"/>
          <w:szCs w:val="22"/>
          <w:vertAlign w:val="baseline"/>
        </w:rPr>
        <w:t xml:space="preserve"> spp. e </w:t>
      </w:r>
      <w:r>
        <w:rPr>
          <w:i/>
          <w:position w:val="0"/>
          <w:sz w:val="22"/>
          <w:sz w:val="22"/>
          <w:szCs w:val="22"/>
          <w:vertAlign w:val="baseline"/>
        </w:rPr>
        <w:t>R</w:t>
      </w:r>
      <w:r>
        <w:rPr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i/>
          <w:position w:val="0"/>
          <w:sz w:val="22"/>
          <w:sz w:val="22"/>
          <w:szCs w:val="22"/>
          <w:vertAlign w:val="baseline"/>
        </w:rPr>
        <w:t>dominica</w:t>
      </w:r>
      <w:r>
        <w:rPr>
          <w:position w:val="0"/>
          <w:sz w:val="22"/>
          <w:sz w:val="22"/>
          <w:szCs w:val="22"/>
          <w:vertAlign w:val="baseline"/>
        </w:rPr>
        <w:t xml:space="preserve">, destacando-se a ocorrência de </w:t>
      </w:r>
      <w:r>
        <w:rPr>
          <w:i/>
          <w:position w:val="0"/>
          <w:sz w:val="22"/>
          <w:sz w:val="22"/>
          <w:szCs w:val="22"/>
          <w:vertAlign w:val="baseline"/>
        </w:rPr>
        <w:t>L</w:t>
      </w:r>
      <w:r>
        <w:rPr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i/>
          <w:position w:val="0"/>
          <w:sz w:val="22"/>
          <w:sz w:val="22"/>
          <w:szCs w:val="22"/>
          <w:vertAlign w:val="baseline"/>
        </w:rPr>
        <w:t>serricorne</w:t>
      </w:r>
      <w:r>
        <w:rPr>
          <w:position w:val="0"/>
          <w:sz w:val="22"/>
          <w:sz w:val="22"/>
          <w:szCs w:val="22"/>
          <w:vertAlign w:val="baseline"/>
        </w:rPr>
        <w:t xml:space="preserve">, que passou a ser uma praga importante no armazenamento de soja no Brasil. Dentre as micotoxinas, foi detectada apenas a presença de Aflatoxina B1, em amostras de grãos provenientes de duas regiões do PR. A ocorrência dessa micotoxina é justificada pelos elevados índices de grãos infectados por </w:t>
      </w:r>
      <w:r>
        <w:rPr>
          <w:i/>
          <w:position w:val="0"/>
          <w:sz w:val="22"/>
          <w:sz w:val="22"/>
          <w:szCs w:val="22"/>
          <w:vertAlign w:val="baseline"/>
        </w:rPr>
        <w:t>Aspergillus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flavus</w:t>
      </w:r>
      <w:r>
        <w:rPr>
          <w:position w:val="0"/>
          <w:sz w:val="22"/>
          <w:sz w:val="22"/>
          <w:szCs w:val="22"/>
          <w:vertAlign w:val="baseline"/>
        </w:rPr>
        <w:t xml:space="preserve">. Outros fungos como </w:t>
      </w:r>
      <w:r>
        <w:rPr>
          <w:i/>
          <w:position w:val="0"/>
          <w:sz w:val="22"/>
          <w:sz w:val="22"/>
          <w:szCs w:val="22"/>
          <w:vertAlign w:val="baseline"/>
        </w:rPr>
        <w:t>Fusarium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semitectum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Phomopsis</w:t>
      </w:r>
      <w:r>
        <w:rPr>
          <w:position w:val="0"/>
          <w:sz w:val="22"/>
          <w:sz w:val="22"/>
          <w:szCs w:val="22"/>
          <w:vertAlign w:val="baseline"/>
        </w:rPr>
        <w:t xml:space="preserve"> sp., </w:t>
      </w:r>
      <w:r>
        <w:rPr>
          <w:i/>
          <w:position w:val="0"/>
          <w:sz w:val="22"/>
          <w:sz w:val="22"/>
          <w:szCs w:val="22"/>
          <w:vertAlign w:val="baseline"/>
        </w:rPr>
        <w:t>Cercospora</w:t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kikuchii</w:t>
      </w:r>
      <w:r>
        <w:rPr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i/>
          <w:position w:val="0"/>
          <w:sz w:val="22"/>
          <w:sz w:val="22"/>
          <w:szCs w:val="22"/>
          <w:vertAlign w:val="baseline"/>
        </w:rPr>
        <w:t>Macrophomina</w:t>
      </w:r>
      <w:r>
        <w:rPr>
          <w:position w:val="0"/>
          <w:sz w:val="22"/>
          <w:sz w:val="22"/>
          <w:szCs w:val="22"/>
          <w:vertAlign w:val="baseline"/>
        </w:rPr>
        <w:t xml:space="preserve"> sp. foram detectados, porém com menor intensidade. Vale destacar que a ocorrência de insetos, fungos e micotoxinas foi sempre mais elevada nas amostras de grãos em.</w:t>
      </w:r>
    </w:p>
    <w:p>
      <w:pPr>
        <w:pStyle w:val="Normal1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position w:val="0"/>
          <w:sz w:val="20"/>
          <w:vertAlign w:val="baseline"/>
        </w:rPr>
      </w:pPr>
      <w:r>
        <w:rPr>
          <w:b/>
          <w:position w:val="0"/>
          <w:sz w:val="22"/>
          <w:sz w:val="22"/>
          <w:szCs w:val="22"/>
          <w:vertAlign w:val="baseline"/>
        </w:rPr>
        <w:t>Palavras-chave:</w:t>
      </w:r>
      <w:r>
        <w:rPr>
          <w:position w:val="0"/>
          <w:sz w:val="22"/>
          <w:sz w:val="22"/>
          <w:szCs w:val="22"/>
          <w:vertAlign w:val="baseline"/>
        </w:rPr>
        <w:t xml:space="preserve"> micotoxina, fungos de armazenagem, insetos de armazenagem.</w:t>
      </w:r>
    </w:p>
    <w:sectPr>
      <w:headerReference w:type="default" r:id="rId2"/>
      <w:headerReference w:type="first" r:id="rId3"/>
      <w:type w:val="nextPage"/>
      <w:pgSz w:w="11906" w:h="16838"/>
      <w:pgMar w:left="1134" w:right="1134" w:gutter="0" w:header="283" w:top="1133" w:footer="0" w:bottom="1417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6107430" cy="116268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suppressAutoHyphens w:val="false"/>
      <w:spacing w:lineRule="atLeast" w:line="1"/>
      <w:jc w:val="center"/>
      <w:textAlignment w:val="top"/>
      <w:outlineLvl w:val="0"/>
    </w:pPr>
    <w:rPr>
      <w:b/>
      <w:w w:val="100"/>
      <w:position w:val="0"/>
      <w:sz w:val="24"/>
      <w:sz w:val="24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St2z0">
    <w:name w:val="WW8NumSt2z0"/>
    <w:qFormat/>
    <w:rPr>
      <w:rFonts w:ascii="Arial" w:hAnsi="Arial" w:cs="Arial"/>
      <w:b/>
      <w:i w:val="false"/>
      <w:w w:val="100"/>
      <w:position w:val="0"/>
      <w:sz w:val="20"/>
      <w:effect w:val="none"/>
      <w:vertAlign w:val="baseline"/>
      <w:em w:val="none"/>
    </w:rPr>
  </w:style>
  <w:style w:type="character" w:styleId="WWFontepargpadro">
    <w:name w:val="WW-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HiperlinkVisitado">
    <w:name w:val="HiperlinkVisitado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0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>
    <w:name w:val="WW-Caracteres de nota de fim"/>
    <w:qFormat/>
    <w:rPr>
      <w:w w:val="100"/>
      <w:position w:val="0"/>
      <w:sz w:val="20"/>
      <w:effect w:val="none"/>
      <w:vertAlign w:val="baseline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Refdenotaderodap2">
    <w:name w:val="Ref. de nota de rodapé2"/>
    <w:qFormat/>
    <w:rPr>
      <w:w w:val="100"/>
      <w:effect w:val="none"/>
      <w:vertAlign w:val="superscript"/>
      <w:em w:val="none"/>
    </w:rPr>
  </w:style>
  <w:style w:type="character" w:styleId="Refdenotadefim2">
    <w:name w:val="Ref. de nota de fim2"/>
    <w:qFormat/>
    <w:rPr>
      <w:w w:val="100"/>
      <w:effect w:val="none"/>
      <w:vertAlign w:val="superscript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tLeast" w:line="1"/>
      <w:jc w:val="center"/>
      <w:textAlignment w:val="top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Normal1"/>
    <w:next w:val="Corpode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Corpo de texto"/>
    <w:basedOn w:val="Normal1"/>
    <w:qFormat/>
    <w:pPr>
      <w:suppressAutoHyphens w:val="false"/>
      <w:spacing w:lineRule="atLeast" w:line="1"/>
      <w:jc w:val="center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etexto"/>
    <w:qFormat/>
    <w:pPr>
      <w:suppressAutoHyphens w:val="false"/>
      <w:spacing w:lineRule="atLeast" w:line="1"/>
      <w:jc w:val="center"/>
      <w:textAlignment w:val="top"/>
      <w:outlineLvl w:val="0"/>
    </w:pPr>
    <w:rPr>
      <w:b/>
      <w:w w:val="100"/>
      <w:position w:val="0"/>
      <w:sz w:val="28"/>
      <w:sz w:val="28"/>
      <w:effect w:val="none"/>
      <w:vertAlign w:val="baseline"/>
      <w:em w:val="none"/>
      <w:lang w:val="pt-BR" w:eastAsia="zh-CN" w:bidi="ar-SA"/>
    </w:rPr>
  </w:style>
  <w:style w:type="paragraph" w:styleId="Textodenotaderodap">
    <w:name w:val="Texto de nota de rodapé"/>
    <w:basedOn w:val="Normal1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Recuodecorpodetexto">
    <w:name w:val="Recuo de corpo de texto"/>
    <w:basedOn w:val="Normal1"/>
    <w:qFormat/>
    <w:pPr>
      <w:suppressAutoHyphens w:val="false"/>
      <w:spacing w:lineRule="atLeast" w:line="1"/>
      <w:ind w:left="0" w:right="0" w:firstLine="708"/>
      <w:jc w:val="both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Recuodecorpodetexto21">
    <w:name w:val="Recuo de corpo de texto 21"/>
    <w:basedOn w:val="Normal1"/>
    <w:qFormat/>
    <w:pPr>
      <w:suppressAutoHyphens w:val="false"/>
      <w:spacing w:lineRule="atLeast" w:line="1"/>
      <w:ind w:left="0" w:right="0" w:firstLine="567"/>
      <w:jc w:val="both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Normal1"/>
    <w:qFormat/>
    <w:pPr>
      <w:suppressAutoHyphens w:val="false"/>
      <w:spacing w:lineRule="atLeast" w:line="1"/>
      <w:ind w:left="284" w:right="0" w:hanging="284"/>
      <w:jc w:val="both"/>
      <w:textAlignment w:val="top"/>
      <w:outlineLvl w:val="0"/>
    </w:pPr>
    <w:rPr>
      <w:w w:val="100"/>
      <w:position w:val="0"/>
      <w:sz w:val="24"/>
      <w:sz w:val="24"/>
      <w:effect w:val="none"/>
      <w:vertAlign w:val="baseline"/>
      <w:em w:val="none"/>
      <w:lang w:val="pt-BR" w:eastAsia="zh-CN" w:bidi="ar-SA"/>
    </w:rPr>
  </w:style>
  <w:style w:type="paragraph" w:styleId="Corpodetexto21">
    <w:name w:val="Corpo de texto 21"/>
    <w:basedOn w:val="Normal1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suppressAutoHyphens w:val="fals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squerda">
    <w:name w:val="Cabeçalho à esquerda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nlpWyUoHh9yBtxZmiFXw07oIWw==">AMUW2mW0zjxFeEHymfFh2nIuwdQ7zTsxE2Gc9M8l3F4/EawhLO+lccsyCXjPb9YkVWGw/Q7ZfvlqkOREUCZt8Zn8ifjzjiVaQ1zvb6Ua5Pb7FlHQPsh9ekA=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619</Words>
  <Characters>3682</Characters>
  <CharactersWithSpaces>4299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FB1</dc:creator>
  <dc:description/>
  <dc:language>pt-BR</dc:language>
  <cp:lastModifiedBy/>
  <dcterms:modified xsi:type="dcterms:W3CDTF">2022-11-08T10:18:36Z</dcterms:modified>
  <cp:revision>1</cp:revision>
  <dc:subject/>
  <dc:title/>
</cp:coreProperties>
</file>